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国家战略传播研究中心</w:t>
      </w:r>
      <w:r>
        <w:rPr>
          <w:rFonts w:hint="eastAsia"/>
          <w:b/>
          <w:bCs/>
          <w:sz w:val="32"/>
          <w:szCs w:val="40"/>
        </w:rPr>
        <w:t>个人会员登记表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left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填表日期：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  <w:t>表格编号：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（彩色免冠一寸照）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党派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代表性科研成果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科研项目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教授课程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9130C"/>
    <w:rsid w:val="0B19130C"/>
    <w:rsid w:val="389F008F"/>
    <w:rsid w:val="4AF50B0D"/>
    <w:rsid w:val="5C7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2021-03-09T04:15:00Z</dcterms:created>
  <dc:creator>张梦晗</dc:creator>
  <cp:lastModifiedBy>张梦晗</cp:lastModifiedBy>
  <dcterms:modified xsi:type="dcterms:W3CDTF">2021-03-09T05:15:16Z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